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Чувашской Республики – Чувашии от 18.08.2009 по делу № А79-3718/2007, постановление Первого арбитражного апелляционного суда от 02.12.2010 и постановление Федерального арбитражного суда Волго-Вятского округа от 28.02.2011 по тому же делу оставить без изменения. Заявление общества с ограниченной ответственностью «Газпром межрегионгаз Чебоксары»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