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13.12.2010 по делу № А46-23847/2009 Арбитражного суда Омской области в части отмены решения Арбитражного суда Омской области от 24.03.2010 и постановления 9 Восьмого арбитражного апелляционного суда от 02.08.2010 об удовлетворении требований общества с ограниченной ответственностью «Омск-Актив» и общества с ограниченной ответственностью «Фирма «Ралли» о признании права общей долевой собственности на нежилое помещение общего пользования № 15П (номера на поэтажном плане: 1-й этаж: 3–12, 2-й этаж: 13–15) общей площадью 225,1 кв. метра, находящиеся в нежилом строении (лит. Б), и нежилое помещение № 17П общей площадью 2,5 кв. метра, расположенные по адресу: г. Омск, просп. Маркса, 5А, в размере соответственно 1454/10000 и 2286/10000 доли в праве общей собственности, а также об отказе в их удовлетворении отменить. Решение Арбитражного суда Омской области от 24.03.2010 и постановление Восьмого арбитражного апелляционного суда от 02.08.2010 по указанному делу в этой части оставить без изменения. В остальной части постановление Федерального арбитражного суда Западно-Сибирского округа от 13.12.2010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