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Саха (Якутия) от 29.07.2010 по делу № А58-4361/10, постановление Четвертого арбитражного апелляционного суда от 06.10.2010 и постановление Федерального арбитражного суда Восточно-Сибирского округа от 23.12.2010 по тому же делу отменить. Дело направить в Арбитражный суд Республики Саха (Якутия) на новое рассмотрение. Председательствующий А.А. Иванов 7 РЕЗЮМЕ по делу № 1995/11 В соответствии с прямым указанием закона (статья 129 Гражданского кодекса Российской Федерации) при преобразовании юридического лица происходит универсальное правопреемство, в силу которого к вновь возникшему юридическому лицу переходит весь комплекс прав и обязанностей в полном объеме, даже если эти права не упоминаются в утвержденном при такой реорганизации передаточном акте.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