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02.07.2010 по делу № А55-5418/2010, постановление Одиннадцатого арбитражного апелляционного суда от 28.10.2010 и постановление Федерального арбитражного суда Поволжского округа от 12.01.2011 по тому же делу в части отказа в удовлетворении требования открытого акционерного общества «Издательство «Самарский Дом печати» о признании недействительными решения Инспекции Федеральной налоговой службы по Октябрьскому району города Самары от 16.02.2010 № 14-15/8 и требования № 7057 по эпизодам, связанным с доначислением налога на прибыль и налога на добавленную стоимость, отменить. Признать недействительными решение и требование инспекции в части доначисления 87 535 270 рублей налога на прибыль, начисления соответствующих сумм пеней и штрафа. 12 В части доначисления 38 126 886 рублей налога на добавленную стоимость, начисления соответствующих сумм пеней и штрафа дело направить на новое рассмотрение в Арбитражный суд Самарской области. В остальной части названные судебные акты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