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05.03.2010 по делу № А40-143319/09-142-1126, постановление Девятого арбитражного апелляционного суда от 21.05.2010, постановление Федерального арбитражного суда Московского округа от 10.09.2010 по тому же делу в части отказа обществу с ограниченной ответственностью «Руфь» в признании недействительными решений Инспекции Федеральной налоговой службы № 10 по городу Москве от 19.03.2009 № 18/68-216 об отказе в возмещении суммы налога на добавленную стоимость, заявленной 8 к возмещению, и от 19.03.2009 № 18/506-216 о привлечении к ответственности за совершение налогового правонарушения отменить. В отмененной части заявление общества с ограниченной ответственностью «Руфь» удовлетворить. Признать недействительными решения Инспекции Федеральной налоговой службы № 10 по городу Москве от 19.03.2009 № 18/68-216 об отказе в возмещении суммы налога на добавленную стоимость, заявленной к возмещению, и от 19.03.2009 № 18/506-216 о привлечении к ответственности за совершение налогового правонарушения.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