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сентября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Челябинской области от 22.03.2010 по делу № А76-44241/2009-39-19, постановление Восемнадцатого арбитражного апелляционного суда от 04.06.2010 и постановление Федерального арбитражного суда Уральского округа от 01.09.2010 по тому же делу в части доначисления индивидуальному предпринимателю 7 Никонову А.Г. налога на добавленную стоимость по эпизодам, указанным в пунктах 4.1 – 4.7, 4.9, 4.10 решения Инспекции Федеральной налоговой службы по городу Копейску от 04.09.2009 № 39, начисления соответствующих сумм пеней и штрафов отменить. Дело в отмененной части направить на новое рассмотрение в Арбитражный суд Челябинской области.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