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7 решение Арбитражного суда города Москвы от 11.02.2010 по делу № А40-148914/09-88-715 и постановление Федерального арбитражного суда Московского округа от 04.08.2010 по тому же делу оставить без изменения. Заявления обществ с ограниченной ответственностью «Гранд Лэнд» и «СтройинжГрупп»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