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26.10.2009 по делу № А60-38923/2009-С6, постановление Семнадцатого арбитражного апелляционного суда от 29.12.2009 и постановление Федерального арбитражного суда Уральского округа от 16.03.2010 по тому же делу в части отказа в удовлетворении требования открытого акционерного общества «Уральское производственное предприятие «Вектор» о признании недействительным требования Инспекции Федеральной налоговой службы по Кировскому району города Екатеринбурга от 19.08.2009 № 39534 об уплате 68 539 рублей 98 копеек пеней, начисленных на задолженность по налогу на имущество за 2005 год и I квартал 2006 года, отменить. Требование инспекции в указанной части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