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Третьего арбитражного апелляционного суда от 29.04.2010 и постановление Федерального арбитражного суда Восточно-Сибирского округа от 02.07.2010 по делу № А33-16422/2009 Арбитражного суда Красноярского края оставить без изменения. Заявление общества с ограниченной ответственностью «Дивногорский водоканал»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