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31.05.2010 по делу № А56-43806/2009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19.11.2009 и постановление Тринадцатого арбитражного апелляционного суда от 26.02.2010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