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11.09.2009 по делу № А40-37908/09-93-401, постановление Девятого арбитражного апелляционного суда от 31.05.2010 и постановление Федерального арбитражного суда Московского округа от 16.08.2010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