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29.05.2009 по делу № А56-43988/2008, постановление Тринадцатого арбитражного апелляционного суда от 26.08.2009 и постановление Федерального арбитражного суда Северо- Западного округа от 16.11.2009 по тому же делу в части взыскания с общества с ограниченной ответственностью «Петербургский Час Пик» в пользу Комитета по печати и взаимодействию со средствами массовой информации правительства Санкт-Петербурга 78 727 рублей 3 копеек долга и 13 395 рублей процентов за пользование чужими денежными средствами отменить, в иске в этой части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