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16.03.2009 по делу № А41-243/09, постановление Десятого арбитражного апелляционного суда от 20.05.2009 и постановление Федерального арбитражного суда Московского округа от 27.07.2009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