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02.10.2009 по делу № А56-59822/2008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10.03.2009 и постановление Тринадцатого арбитражного апелляционного суда от 18.06.2009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