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Владимирской области от 18.05.2009 по делу № А11-1066/2009, постановление Первого арбитражного апелляционного суда от 24.08.2009 и постановление Федерального арбитражного суда Волго- Вятского округа от 18.11.2009 по тому же делу в части доначисления открытому акционерному обществу «Муромский стрелочный завод» 1 144 539 рублей налога на добавленную стоимость, начисления соответствующих пеней и применения налоговых санкций отменить. Решение Межрайонной инспекции Федеральной налоговой службы по крупнейшим налогоплательщикам по Владимирской области от 30.12.2008 № 13 в редакции решения Управления Федеральной налоговой службы по Владимирской области от 23.04.2009 № 04-07-04/4305 в указанной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