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Тольятти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мэрии городского округа Тольятти о пересмотре в порядке надзора решения Арбитражного суда Самарской области от 19.11.2008 по делу № А55-11287/2008 и постановления Федерального арбитражного суда Поволжского округа от 30.04.2009 по тому же делу. В заседании приняли участие представители: от заявителя – мэрии городского округа Тольятти (третьего лица) – Вадченко А.В.;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от открытого акционерного общества «Яхт-клуб «Химик» (истца) – Киляков В.Г.; от Управления Федеральной регистрационной службы по Самарской области (ответчика) – Пузанов В.В.; от Департамента лесного хозяйства Самарской области (третьего лица) – Притулина Е.А. Заслушав и обсудив доклад судьи Маковской А.А., а также объяснения представителей участвующих в деле лиц, Президиум установил следующее. Открытое акционерное общество «Яхт-клуб «Химик» (далее – яхт- клуб) обратилось в Управление Федеральной регистрационной службы по Самарской области (далее – регистрирующий орган) с заявлением о государственной регистрации договора от 07.12.2007 № 1680 аренды земельного участка, расположенного по адресу: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30.04.2009 по делу № А55-11287/2008 отменить. 8 Постановление Одиннадцатого арбитражного апелляционного суда от 18.02.2009 по тому же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