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Кировской области от 05.12.2008 по делу № А28-10505/2008-440/21, постановление Второго арбитражного апелляционного суда от 30.01.2009 и постановление Федерального арбитражного суда Волго-Вятского округа от 30.04.2009 по тому же делу оставить без изменения. Заявление открытого акционерного общества «Нововятский механический завод»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