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Восьмого арбитражного апелляционного суда от 28.11.2008 и постановления Федерального арбитражного суда Западно- Сибирского округа от 05.03.2009 по делу № А46-13419/2008 Арбитражного суда Омской области оставить без изменения. Заявление администрации города Омска и мэра города Омска оставить без удовлетворения. Председательствующий А.А. Иванов 5 Резюме по делу № 4742/09 Суды апелляционной и кассационной инстанций пришли к правильному выводу о неподведомственности дела арбитражному суду в связи с тем, что организационная деятельность органа местного самоуправления по созданию условий для управления многоквартирными домами не является предпринимательской или экономической деятельностью.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