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февраля 2008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 Арбитражного суда города Москвы от 29.02.2008 по делу № А40-54452/07-27-496 (с учетом определения Арбитражного суда города Москвы от 31.03.2008 о разъяснении решения), постановления Девятого арбитражного апелляционного суда от 04.05.2008, от 06.05.2008 и постановление Федерального арбитражного суда Московского округа от 01.09.2008 по тому же делу оставить без изменения. Заявление закрытого акционерного общества «Ландрин» оставить без удовлетворения. Председательствующий А.А. Иванов 6 Резюме по делу № 16063/08 Суд правомерно запретил ответчику использовать товарный знак истца путем введения в гражданский оборот товаров в упаковке, на которой размещено обозначение, сходное до степени смешения с указанным товарным знаком. 7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