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октября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вышеуказанные судебные акты, одновременно заявив ходатайство о восстановлении пропущенного процессуального срока на ее подачу.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Московского округа от 20 июня 2025 г., на момент обращения заявителя в Верховный Суд Российской Федерации двухмесячный срок, установленный статьей 2912 АПК РФ, истек. Положениями части 2 статьи 2912 АПК РФ предусмотрено, что срок подачи кассационных жалобы, представления, пропущенный по причинам, не 2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срок, установленный частью 1 статьи 2912 АПК РФ. Руководствуясь статьями 117, 184, 185,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«Бенчмарк-лоджистикс»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