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12 сентября 2025 г. учреждению предоставлена отсрочка по уплате государственной пошлины за подачу кассационной жалобы. С учетом положений статей 33321, 33322 Налогового кодекса Российской Федерации и статей 102, 110 Арбитражного процессуального кодекса 2 Российской Федерации государственная пошлина подлежит взысканию с заявителя в доход федерального бюджета.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«Баромембранная Технология – Сервис» и областному государственному казенному учреждению «Центр экологического мониторинга Челябинской области»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Взыскать с областного государственного казенного учреждения «Центр экологического мониторинга Челябинской области» в доход федерального бюджета 80 000 (восемьдесят тысяч) рублей государственной пошлины за подачу кассационной жалобы. Арбитражному суду города Москвы выдать исполнительный лист.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