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determination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3 октября 2025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доводы кассационной жалобы не подтверждают наличие оснований, предусмотренных статьями 2916, 29111 Арбитражного процессуального кодекса Российской Федерации, для передачи жалобы для рассмотрения в судебном заседании Судебной коллегии Верховного Суда Российской Федерации и пересмотра обжалуемых судебных актов, поскольку не позволяют сделать вывод о том, что при рассмотрении дела допущены нарушения норм материального права и (или) норм процессуального права, приведшие к судебной ошибке существенного и непреодолимого характера. В связи с отказом в передаче кассационной жалобы для рассмотрения в судебном заседании Судебной коллегии по экономическим спорам Верховного Суда Российской Федерации, ходатайство о приостановлении исполнения судебных актов остается без рассмотрения. Руководствуясь статьями 2916, 2918 Арбитражного процессуального кодекса Российской Федерации, 2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отказать Бадёру Александру Николаевичу в передаче кассационной жалобы для рассмотрения в судебном заседании Судебной коллегии по экономическим спорам Верховного Суда Российской Федерации. Судья Верховного Суда Российской Федерации М.К.Антонова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