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20 сентября 2025 г. (согласно информации о почтовом отправлении с официального сайта ФГУП «Почта России» и отметке органа почтовой связи на почтовом конверте) обратился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14 июля 2025 г., срок на обжалование которого истек 15 сентября 2025 г. 2 Обратившись с кассационной жалобой 20 сентября 2025 г.,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Несвоевременную подачу жалобы предприниматель обосновывает направлением кассационной жалобы в суд округа и последующим ее возвратом заявителю.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Предприниматель был извещен о судебном разбирательстве в суде первой инстанции, являлся инициатором апелляционного и кассационного обжалования, и его представитель участвовал при рассмотрении дела в судах апелляционной инстанции и округа. Так с полным текстом последнего обжалуемого судебного акта - постановления Арбитражного суда Московского округа от 14 июля 2025 г. заявитель мог ознакомиться 15 июля 2025 г.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При этом ненадлежащий порядок подачи жалобы не продлевает срок на кассационное обжалование и не может служить уважительной причиной его пропуска.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3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Поскольку предпринимателю отказано в удовлетворении ходатайства о восстановлении пропущенного процессуального срока, ходатайство о предоставлении отсрочки уплаты государственной пошлины за рассмотрение кассационной жалобы не подлежит рассмотрению.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Чарикову Алексею Геннадьевичу в удовлетворении ходатайства о восстановлении пропущенного процессуального срока. Кассационную жалобу на решение Арбитражного суда Московской области от 19 февраля 2025 г., постановление Десятого арбитражного апелляционного суда от 6 мая 2025 г. и постановление Арбитражного суда Московского округа от 14 июля 2025 г. по делу № А41-64139/2024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