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Определением Верховного Суда Российской Федерации от 4 августа 2025 г. акционерному обществу «Мосэлектронпроект» предоставлена отсрочка уплаты государственной пошлины до окончания производства по жалобе. Поскольку государственная пошлина не уплачена, она подлежит взысканию в размере, установленном подпунктом 12 пункта 1 статьи 33321 Налогового кодекса Российской Федерации.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«Мосэлектронпроект»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Взыскать с акционерного общества «Мосэлектронпроект» в доход федерального бюджета государственную пошлину в размере 80 000 (восемьдесят тысяч) рублей. Поручить Арбитражному суду города Москвы выдать исполнительный лист на взыскание государственной пошлины. Судья Верховного Суда Российской Федерации М.К.Антонова Суд: Верховный Суд РФ (подробнее) Истцы: АО "МОСЭЛЕКТРОНПРОЕКТ" (подробнее) Ответчики: Управление Федеральной антимонопольной службы по Московской области (подробнее) Судьи дела: Антонова М.К. (судья) (подробнее) Последние документы по делу: Определение от 18 сентября 2025 г. по делу № А40-174663/2024 Определение от 3 августа 2025 г. по делу № А40-174663/2024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