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16 сентября 2025 г.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Поволжского округа от 11 июля 2025 г., срок на обжалование которого истек 11 сентября 2025 г. Обратившись с кассационной жалобой 16 сентября 2025 г., заявитель пропустил установленный законодательством срок на ее подачу.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нахождение директора общества под домашним арестом.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кассационного обжалования, и его представитель участвовал при рассмотрении дела в судах трех инстанций. Так с полным текстом последнего обжалуемого судебного акта - постановления Арбитражного суда Поволжского округа от 11 июля 2025 г. заявитель мог ознакомиться 12 июля 2025 г.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обществом не представлены надлежащие доказательства в обоснование заявленного ходатайства. При этом описанные заявителем обстоятельства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уважительной причины, с наличием которой процессуальный закон связывает возможность восстановления срока на обжалование судебных актов. 3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«Тольяттинская сырьевая компания» в удовлетворении ходатайства о восстановлении пропущенного процессуального срока. Кассационную жалобу на постановление Одиннадцатого арбитражного апелляционного суда от 10 марта 2025 г. и постановление Арбитражного суда Поволжского округа от 11 июля 2025 г. по делу № А55-10129/2024 Арбитражного суда Самарской области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