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 июля 2025 г. обратился посредством сервиса электронной подачи документов «Мой арбитр»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«Бронницкий ювелирный завод» удовлетворить, пропущенный срок подачи кассационной жалобы восстановить. Судья Верховного Суда Российской Федерации А.Г. Першутов Суд: Верховный Суд РФ (подробнее) Истцы: ООО "Бронницкий ювелирный завод" (подробнее) Иные лица: МИФНС №1 по МО (подробнее) Судьи дела: Першутов А.Г. (судья) (подробнее) Последние документы по делу: Определение от 14 сентября 2025 г. по делу № А41-67495/2023 Определение от 21 июля 2025 г. по делу № А41-67495/2023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