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11 августа 2025 г. обратился в Верховный Суд Российской Федерации с жалобой на определение судьи Верховного Суда Российской Федерации от 13 мая 2025 г. № 308-ЭС25-4592, решение Арбитражного суда Северо-Кавказского округа от 20 декабря 2024 г. и постановление Арбитражного суда Северо-Кавказского округа от 28 февраля 2025 г. по делу № А32-45754/2024, заявив при этом ходатайство о восстановлении пропущенного срока подачи жалобы. Срок подачи кассационных жалобы,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данного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5 февраля 2007 г. № 2-П, от 12 июля 2018 г.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Министерства финансов Краснодарского края о восстановлении пропущенного срока подачи жалобы отказать. Жалобу возвратить заявителю.Судья Верховного СудаРоссийской Федерации М.К. Антонова Суд: Верховный Суд РФ (подробнее) Истцы: ООО КФХ Компас (подробнее) Ответчики: Департамент Имущественных отношений Краснодарского края (подробнее) Департамент финансов Администрации МО г. Краснодар (подробнее) Министерство финансов Краснодарского края (подробнее) МИНИСТЕРСТВО ФИНАНСОВ РФ (подробнее) Управление федерального Казначейства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