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8 августа 2025 г. обратился в Верховный Суд Российской Федерации с жалобой на определение судьи Верховного Суда Российской Федерации от 3 июля 2025 г. № 308-ЭС25-5471, решение Арбитражного суда Краснодарского края от 8 октября 2024 г., постановление Пятнадцатого арбитражного апелляционного суда от 17 февраля 2025 г. и постановление Арбитражного суда Северо-Кавказского округа от 1 апреля 2025 г. по делу № А32-2584/2023, заявив при этом ходатайство о восстановлении пропущенного срока подачи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Поскольку в удовлетворении ходатайства о восстановлении пропущенного срока отказано, ходатайство заявителя об отсрочке уплаты государственной пошлины не подлежит рассмотрению.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«Статус» о восстановлении пропущенного срока подачи жалобы отказать. Жалобу возвратить заявителю.Судья Верховного СудаРоссийской Федерации М.К. Антонова Суд: Верховный Суд РФ (подробнее) Истцы: ООО СТАТУС (подробнее) Ответчики: ООО "Инвестстрой" (подробнее) Судьи дела: Антонова М.К. (судья) (подробнее) Последние документы по делу: Определение от 12 августа 2025 г. по делу № А32-2584/2023 Определение от 2 июля 2025 г. по делу № А32-2584/2023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