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кассационной жалобой, одновременно заявив ходатайство о предоставлении отсрочки уплаты государственной пошлины. Согласно подпункту 12 пункта 1 статьи 33321 Налогового кодекса Российской Федерации при подаче кассационной или надзорной жалобы в Верховный Суд Российской Федерации размер пошлины составляет для физических лиц − 30 000 рублей, для организаций − 80 000 рублей.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данного кодекса. В подтверждение невозможности уплатить государственную пошлину при подаче кассационной жалобы в Верховный Суд Российской Федерации представлена выписка из бюджетной росписи, свидетельствующая об отсутствии лимитов бюджетных обязательств по коду бюджетной классификации расходов на уплату государственной пошлины, что соответствует разъяснениям, изложенным в Обзоре судебной практики Верховного Суда Российской Федерации № 2, 3 (2024), утвержденном Президиумом Верховного Суда Российской Федерации 27 ноября 2024 г. Из представленных документов следует, что заявитель в настоящее время не располагает денежными средствами в объеме, необходимом для уплаты государственной пошлины, в связи с чем имеются основания для предоставления отсрочки до окончания рассмотрения кассационной жалобы в Верховном Суде Российской Федерации. Руководствуясь статьями 102 , 184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городского округа «Город Южно-Сахалинск» «Управление капитального строительства» удовлетворить. Предоставить отсрочку уплаты государственной пошлины в размере 80 000 рублей (восемьдесят тысяч рублей) до окончания производства по кассационной жалобе на решение Арбитражного суда Сахалинской области от 17 сентября 2024 г., постановление Пятого арбитражного апелляционного суда от 29 ноября 2024 г. и постановление Арбитражного суда Дальневосточного округа от 4 марта 2025 г. по делу № А59-6256/2022. Судья Верховного Суда Российской Федерации М.К. Антонова Суд: Верховный Суд РФ (подробнее) Истцы: ООО "СахСпецСтрой" (подробнее) Ответчики: МКУ "Управление капитального строительства г. Южно-Сахалинска" (подробнее) Судьи дела: Антонова М.К. (судья) (подробнее) Последние документы по делу: Определение от 10 августа 2025 г. по делу № А59-6256/2022 Определение от 8 июля 2025 г. по делу № А59-6256/2022 Определение от 8 июля 2025 г. по делу № А59-6256/2022 Определение от 15 июня 2025 г. по делу № А59-6256/2022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