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21 июля 2025 г.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21 января 2025 г., срок на обжалование которого истек 21 марта 2025 г. Обратившись с кассационной жалобой 21 июля 2025 г.,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отсутствие у него при рассмотрении дела информации об обжаловании постановления по делу об административном правонарушении, составленного по причине нарушения правил дорожного движения, в отношении водителя транспортного средства, принадлежащего на праве собственности обществу, и факт его невступления в законную силу на дату вынесения судебных актов. Рассмотрев заявленное ходатайство, суд не находит оснований для его удовлетворения, поскольку доводы, приведенные в заявлении, подлежат рассмотрению в порядке, предусмотренном главой 37 АПК РФ.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«Дрим Авто» в удовлетворении ходатайства о восстановлении пропущенного процессуального срока. Кассационную жалобу на решение Арбитражного суда города Москвы от 2 мая 2024 г., постановление Девятого арбитражного апелляционного суда от 9 августа 2024 г. и постановление Арбитражного суда Московского округа от 21 января 2025 г. по делу № А40-33021/2024 возвратить заявителю. Судья Верховного СудаРоссийской Федерации М.К. Антонова Суд: Верховный Суд РФ (подробнее) Истцы: ООО "Палладин" (подробнее) Ответчики: ООО "ДРИМ АВТО"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