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Челябинской области от 12 апреля 2024 г., постановление Восемнадцатого арбитражного апелляционного суда от 8 июля 2023 г. и постановление Арбитражного суда Уральского округа от 15 ноября 2024 г. по делу № А76-36990/2023 в части удовлетворения требования индивидуального предпринимателя ФИО1 крестьянского (фермерского) хозяйства ФИО2 отменить. В удовлетворении требований индивидуального предпринимателя ФИО1 крестьянского (фермерского) хозяйства ФИО2 в указанной части отказать. В остальной части принятые по делу судебные акты оставить без изменения. Председательствующий судья М.К.Антонова Судья Т.В.Завьялова Судья Д.В.Тютин Суд: Верховный Суд РФ (подробнее) Ответчики: МИФНС №22 по Челябинской области (подробнее) Иные лица: Администрация Сосновского муниципального района Челябинской области (подробнее) Арбитражный суд Уральского округа (подробнее) Межрайонная инспекция Федеральной налоговой службы №32 по Челябинской области (подробнее) Судьи дела: Антонова М.К. (судья) (подробнее) Последние документы по делу: Определение от 24 июня 2025 г. по делу № А76-36990/2023 Определение от 2 февраля 2025 г. по делу № А76-36990/2023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