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 июня 2025 г. обратился в Верховный Суд Российской Федерации с жалобой на определение судьи Верховного Суда Российской Федерации от 9 июня 2025 г. № 305-ЭС25-4122, заявив при этом ходатайство о зачете государственной пошлины по жалобе, уплаченной ранее в Верховный Суд Российской Федерации по делу № А40-286980/2023. Согласно статьям 102, 104 АПК РФ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2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копии платежных документов. По результатам рассмотрения ходатайства судом установлены основания для его удовлетворения и проведения зачета уплаченной государственной пошлины. На основании изложенного, руководствуясь статьями 104, 184, 185 Арбитражного процессуального кодекса Российской Федерации, статьей 33340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акционерного общества «Сбербанк Лизинг» о зачете государственной пошлины за подачу жалобы удовлетворить. Зачесть государственную пошлину в размере 80 000 рублей, перечисленную по платежному поручению от 17 апреля 2025 г. № 22928 при подаче кассационной жалобы в Верховный Суд Российской Федерации по делу № А40-286980/2023, в счет уплаты государственной пошлины при подаче жалобы на определение судьи Верховного Суда Российской Федерации от 9 июня 2025 г. № 305-ЭС25-4122. Судья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