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3 июня 2025 г. обратился в Верховный Суд Российской Федерации с жалобой на определение судьи Верховного Суда Российской Федерации от 21 марта 2025 г. № 309-ЭС25-1353, решение Арбитражного суда Свердловской области от 14 мая 2024 г., постановление Семнадцатого арбитражного апелляционного суда от 5 сентября 2024 г. и постановление Арбитражного суда Уральского округа от 11 декабря 2024 г. по делу № А60-37665/2023, заявив при этом ходатайство о восстановлении пропущенного срока подачи кассационной жалобы.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данного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5 февраля 2007 г. № 2-П, от 12 июля 2018 г.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индивидуального предпринимателя ФИО1 о восстановлении пропущенного срока подачи кассационной жалобы отказать. Кассационную жалобу возвратить заявителю. Судья Верховного Суда Российской Федерации М.К. Антонова Суд: Верховный Суд РФ (подробнее) Истцы: ООО "ПАБ-БИР" (подробнее) Судьи дела: Антонова М.К. (судья) (подробнее) Последние документы по делу: Определение от 5 июня 2025 г. по делу № А60-37665/2023 Определение от 20 марта 2025 г. по делу № А60-37665/2023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