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 июня 2025 г. обратился в Верховный Суд Российской Федерации с жалобой на определение судьи Верховного Суда Российской Федерации от 27 мая 2025 г. № 305-ЭС25-3772, постановление Девятого арбитражного апелляционного суда от 6 сентября 2024 г. и постановление Арбитражного суда Московского округа от 4 февраля 2025 г. по делу № А40-197882/2023 Арбитражного суда города Москвы,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28 мая 2025 г.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Международного союза общественных организаций «Международное сообщество писательских союзов» о восстановлении пропущенного срока подачи кассационной жалобы отказать. Кассационную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