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Верховный Суд Российской Федерации с кассационной жалобой на вышеуказанные судебные акты. В тексте кассационной жалобы заявитель ходатайствует об освобождении от уплаты государственной пошлины на основании подпункта 2 пункта 1 статьи 33337 Налогового кодекса Российской Федерации. В силу статьи 105 Арбитражного процессуального кодекса Российской Федерации льготы по уплате государственной пошлины предоставляются в случаях и порядке, которые установлены законодательством Российской Федерации о налогах и сборах. Согласно подпункту 2 пункта 1 статье 33337 Налогового кодекса Российской Федерации от уплаты государственной пошлины по делам, рассматриваемым арбитражными судами, освобождаются истцы по искам, связанным с нарушением прав и законных интересов ребенка. В рассматриваемом случае, исходя из указанных заявителем обстоятельств, судья полагает возможным освободить заявителя кассационной жалобы от уплаты государственной пошлины. Руководствуясь статьями 102 , 105 , 184 , 33337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Освободить ФИО1 от уплаты государственной пошлины. Судья Верховного СудаРоссийской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