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8 апреля 2025 г. обратился в Верховный Суд Российской Федерации с жалобой на определение судьи Верховного Суда Российской Федерации от 5 марта 2025 г. № 307-ЭС25-1867, решение Арбитражного суда Мурманской области от 21 июня 2023 г. и постановление Арбитражного суда Северо-Западного округа от 18 декабря 2024 г. по делу № А42-12056/2022,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«Гулбахар Рус»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ООО "ГУЛБАХАР РУС" (подробнее) Ответчики: Мурманская таможня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