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«ТС Интеграция» обратилось в Арбитражный суд города Москвы с иском о взыскании с общества с ограниченной ответственностью «Орбита Трейдинг» 242 744 207 рублей 34 копеек задолженности, 49 449 369 рублей 98 копеек процентов за пользование чужими денежными средствами по состоянию на 25 января 2024 г., процентов за пользование чужими денежными средствами в порядке статьи 395 Гражданского кодекса Российской Федерации с 26 января 2024 г. по дату фактического исполнения обязательства. Решением Арбитражного суда города Москвы от 15 мая 2024 г. исковые требования удовлетворены. Постановлением Девятого арбитражного апелляционного суда от 15 августа 2024 г. решение суда первой инстанции отменено, в удовлетворении иска отказано. Постановлением Арбитражного суда Московского округа от 5 ноября 2024 г. постановление апелляционного суда отменено, оставлено в силе решение суда первой инстанции. Не согласившись с принятыми по делу судебными актами судов первой и кассационной инстанций,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права, и оставлении в силе постановления суда апелляционной инстанции.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«Орбита Трейдинг»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"ТС ИНТЕГРАЦИЯ" (подробнее) Ответчики: ООО "ОРБИТА ТРЕЙДИНГ"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