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 восстановлении пропущенного процессуального срока на ее подачу. Согласно части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Восточно-Сибирского округа от 11 декабря 2024 г., на момент обращения заявителя в Верховный Суд Российской Федерации двухмесячный срок, установленный статьей 2912 АПК РФ, истек. Положениями части 2 статьи 2912 АПК РФ предусмотрено, что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2 ходатайству указанного лица может быть восстановлен судьей Судебной коллегии Верховного Суда Российской Федерации,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 Согласно части 3 статьи 2912 АПК РФ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названного Кодекса. В силу части 2 статьи 117 АПК РФ арбитражный суд восстанавливает пропущенный процессуальный срок, если признает причины пропуска уважительными. Рассмотрев заявленное ходатайство, суд полагает возможным восстановить срок, установленный частью 1 статьи 2912 АПК РФ. Руководствуясь статьями 117, 184, 185,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«АНИ»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