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2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предметом спора является взыскание неосновательного по государственному контракту; требование заявителя, выступающего по делу истцом, возникло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3 из разъяснения по применению пункта 11 пункта 1 статьи 33337 Налогового кодекса Российской Федерации, изложенного в Обзоре судебной практики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184,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«Центр государственного имущества и жилищно-бытового обеспечения Федеральной службы исполнения наказаний» в удовлетворении ходатайства об освобождении от уплаты государственной пошлины. Кассационную жалобу на решение Арбитражного суда города Москвы от 13 августа 2024 г., постановление Девятого арбитражного апелляционного суда от 11 ноября 2024 г. и постановление Арбитражного суда Московского округа от 20 февраля 2025 г. по делу № А40-145942/2022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