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Согласно пункту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В данном случае имеются основания для предоставления заявителю отсрочки уплаты госпошлины в соответствии с положениями статьи 102 Арбитражного процессуального кодекса Российской Федерации, пункта 2 статьи 33322, пункта 1 статьи 33341 Налогового кодекса Российской Федерации.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Санкт-Петербургского государственного бюджетного учреждения «Парк культуры и отдыха г. Колпино» об отсрочке уплаты государственной пошлины за рассмотрение кассационной жалобы удовлетворить. Предоставить Санкт-Петербургскому государственному бюджетному учреждению «Парк культуры и отдыха г. Колпино» отсрочку уплаты государственной пошлины до окончания производства по кассационной жалобе на решение Арбитражного суда города Санкт-Петербурга и Ленинградской области от 18 марта 2024 г., постановление Тринадцатого арбитражного апелляционного суда от 9 сентября 2024 г. и постановление Арбитражного суда Северо-Западного округа от 14 января 2025 г. по делу № А56-123125/2022.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