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Садыкова Е.Н. обратилась в Верховный Суд Российской Федерации с кассационной жалобой на вышеуказанные судебные акты. В тексте кассационной жалобы заявитель ходатайствует об освобождении от уплаты государственной пошлины на основании подпункта 2 пункта 1 статьи 33337 Налогового кодекса Российской Федерации. В силу статьи 105 Арбитражного процессуального кодекса Российской Федерации льготы по уплате государственной пошлины предоставляются в случаях и порядке, которые установлены законодательством Российской Федерации о налогах и сборах. Согласно подпункту 2 пункта 1 статье 33337 Налогового кодекса Российской Федерации от уплаты государственной пошлины по делам, рассматриваемым арбитражными судами, освобождаются истцы по искам, связанным с нарушением прав и законных интересов ребенка. В рассматриваемом случае, исходя из указанных заявителем обстоятельств, судья полагает возможным освободить заявителя кассационной жалобы от уплаты государственной пошлины. 2 Руководствуясь статьями 102, 105, 184, 33337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Садыковой Елены Николаевны удовлетворить. Освободить Садыкову Елену Николаевну от уплаты государственной пошлины.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