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Президиумом Верховного Суда Российской Федерации 27 ноября 2024 г.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В обоснование отсутствия возможности уплатить государственную пошлину заявителем представлены подтвержденные налоговым органом сведения об открытых банковских счетах по состоянию на 8 марта 2025 г., согласно которым обществом открыты счета в ПАО «Промсвязьбанк» (2 счета) и ПАО «Сбербанк» (2 счета). Вместе с тем справка об отсутствии денежных средств представлена только по расчетным счетам, открытым в ПАО «Сбербанк». Доказательства, представленные заявителем, в отсутствие справок по другим счетам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«Проектокс» в удовлетворении ходатайства об отсрочке уплаты государственной пошлины за рассмотрение кассационной жалобы. Кассационную жалобу на постановление Одиннадцатого арбитражного апелляционного суда от 23 сентября 2024 г. и постановление Арбитражного суда Поволжского округа от 19 декабря 2024 г. по делу № А65-7177/2024 Арбитражного суда Республики Татарстан возвратить заявителю.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