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14 февраля 2025 г. обратилось в Верховный Суд Российской Федерации с кассационной жалобой на названные судебные акты, заявив при этом ходатайство об освобождении от уплаты государственной пошлины за рассмотрение кассационной жалобы. Определением Верховного Суда Российской Федерации от 20 февраля 2025 г. в удовлетворении ходатайства об освобождении от уплаты государственной пошлины отказано. Кассационная жалоба возвращена заявителю. Учреждение, вновь 7 марта 2025 г., обратилось в Верховный Суд Российской Федерации с кассационной жалобой на названные судебные акты, в 2 которой также просит удовлетворить ходатайство об освобождении от уплаты государственной пошлины и отменить определение судьи Верховного Суда Российской Федерации от 20 февраля 2025 г. № 308-ЭС25-1943. Довод учреждения о том, что его участие в споре связано с защитой государственных интересов, подлежит отклонению. Требование учреждения, выступающего по делу ответчиком, возникло из гражданско-правовых отношений и не связано с защитой государственных, общественных интересов, не является основанием для освобождения от уплаты государственной пошлины на основании статьи 33337 Налогового кодекса Российской Федерации, ввиду чего ходатайство не подлежит удовлетворению, а кассационная жалоба подлежит возвращению без рассмотрения по существу, как не отвечающая требованиям, установленным частью 5 статьи 2913 Арбитражного процессуального кодекса Российской Федерации. Руководствуясь статьями 184, 2913, 2915 Арбитражного процессуального кодекса Российской Федерации, статьями 33322, 33341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казенного учреждения «Исправительная колония № 1 Управления Федеральной службы исполнения наказаний по Республике Северная Осетия – Алания» об освобождении от уплаты государственной пошлины отказать. Кассационную жалобу на постановление Шестнадцатого арбитражного апелляционного суда от 30 октября 2024 г. и постановление Арбитражного суда Северо-Кавказского округа от 15 января 2025 г. по делу № А61-3681/2023 Арбитражного суда Республики Северная Осетия – Алания возвратить заявителю.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