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2025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доводы кассационной жалобы не подтверждают наличие оснований, предусмотренных статьями 2916, 29111 Арбитражного процессуального кодекса Российской Федерации, для передачи жалобы для рассмотрения в судебном заседании Судебной коллегии Верховного Суда Российской Федерации и пересмотра обжалуемых судебных актов, поскольку не позволяют сделать вывод о том, что при рассмотрении дела допущены нарушения норм материального права и (или) норм процессуального права, приведшие к судебной ошибке существенного и непреодолимого характера. 2 Руководствуясь статьями 2916, 2918 Арбитражного процессуального кодекса Российской Федерации,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«Торгово-строительная компания – 21 век» и индивидуальному предпринимателю Салказанову Алану Савельевичу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М.К.Антонова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