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исследовав и оценив представленные в материалы дела доказательства, руководствуясь статьями 154, 156, 158 Жилищного кодекса Российской Федерации (далее - Жилищный кодекс), пунктом 31 Правил содержания общего имущества в многоквартирном доме, утвержденных постановлением Правительства Российской Федерации от 13 августа 2006 г. № 491, суд апелляционной инстанции пришел к выводу о том, что оспариваемое предписание жилищной инспекции не соответствует положениям действующего законодательства и нарушает права и законные интересы общества с ограниченной ответственностью Управляющая компания «Центр Домоуправления» (далее - управляющая компания). Суд округа поддержал выводы суда апелляционной инстанции. Учитывая обстоятельства настоящего дела, суды исходили из того, что в данном случае управляющая компания обоснованно применила положения части 4 статьи 158 Жилищного кодекса. Доводы кассационной жалобы не подтверждают наличие оснований, 2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