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2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предметом спора является взыскание штрафа за ненадлежащее исполнение обязательств по муниципальному контракту, а также задолженности за выполненные работы; требование заявителя, выступающего по делу истцом, возникло из гражданско- 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3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«Дирекция по строительству объектов транспортной инфраструктуры г. Ростова-на-Дону» в удовлетворении ходатайства об освобождении от уплаты государственной пошлины. Кассационную жалобу на решение Арбитражного суда Ростовской области от 5 ноября 2024 г., постановление Пятнадцатого арбитражного апелляционного суда от 23 декабря 2024 г. и постановление Арбитражного суда Северо-Кавказского округа от 19 февраля 2025 г. по делу № А53-14857/2023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