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оснований для передачи кассационной жалобы на рассмотрение в судебном заседании Судебной коллегии Верховного Суда Российской Федерации не имеется, ходатайство о приостановлении исполнения судебных актов рассмотрению не подлежит (часть 5 статьи 2916 Арбитражного процессуального кодекса Российской Федерации).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«СБ-Апекс»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