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производстве Верховного Суда Российской Федерации находится кассационная жалоба управления на вышеуказанные судебные акты. 4 февраля 2025 г. от управления поступило ходатайство об отзыве кассационной жалобы. В соответствии с пунктом 4 части 1 статьи 2915 Арбитражного процессуального кодекса Российской Федерации кассационная жалоба возвращается без рассмотрения по существу, если поступило ходатайство о возвращении или об отзыве кассационной жалобы. Из материалов кассационного производства усматривается, что отзыв кассационной жалобы не противоречит закону и не нарушает прав других лиц. При таких обстоятельствах ходатайство об отзыве кассационной жалобы подлежит удовлетворению, а жалоба - возврату без рассмотрения по существу. 2 Руководствуясь статьями 184 и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Управления Федеральной антимонопольной службы по Республике Хакасия об отзыве кассационной жалобы. Кассационную жалобу на решение Арбитражного суда Республики Хакасия от 31 мая 2024 г., постановление Третьего арбитражного апелляционного суда от 20 августа 2024 г. и постановление Арбитражного суда Восточно-Сибирского округа от 27 ноября 2024 г. по делу № А74-1705/2024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