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представлены подтвержденные кредитной организацией данные об отсутствии на счете № 40702810014620001083 средств в размере, необходимом для уплаты государственной пошлины, а также данные об общей сумме задолженности владельца счета по исполнительным листам и платежным документам; данные о ежемесячном обороте средств по счету в банке за три месяца, предшествующие подаче ходатайства).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«Гарантпроминвест»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Забайкальского края от 22 февраля 2024 г., постановление Четвёртого арбитражного апелляционного суда от 14 июня 2024 г. и постановление Арбитражного суда Восточно-Сибирского округа от 29 октября 2024 г. по делу № А78-10269/2021 возвратить заявителю. Судья Верховного СудаРоссийской Федерации М.К. Антонова Суд: Верховный Суд РФ (подробнее) Истцы: АО АльфаСтрахование (подробнее) Ответчики: ООО ГАРАНТПРОМИНВЕСТ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