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Одновременно с подачей кассационной жалобы в Верховный Суд Российской Федерации заявитель ходатайствовал о направлении запроса в Конституционный Суд Российской Федерации. При этом заявитель не привел доводов, препятствующих самостоятельному обращению в Конституционный Суд Российской Федерации в установленном законом порядке. Оснований для обращения в Конституционный Суд Российской Федерации в порядке статьи 101 Федерального конституционного закона от 21 июля 1994 г. № 1-ФКЗ «О Конституционном Суде Российской Федерации» и части 3 статьи 13 Арбитражного процессуального кодекса Российской Федерации с соответствующим запросом не усматривается.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-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"РОССЕТИ МОСКОВСКИЙ РЕГИОН" (подробнее) ПАО ФСК ЕЭС (подробнее) Ответчики: ОАО "Урало-Сибирский Банк" (подробнее) Иные лица: ПАО "Россети"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